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CBB28" w14:textId="77777777" w:rsidR="00C10180" w:rsidRDefault="00C10180" w:rsidP="00C10180">
      <w:pPr>
        <w:jc w:val="both"/>
        <w:rPr>
          <w:rFonts w:ascii="Times New Roman" w:hAnsi="Times New Roman" w:cs="Times New Roman"/>
        </w:rPr>
      </w:pPr>
    </w:p>
    <w:p w14:paraId="16CC9723" w14:textId="4E9D741F" w:rsidR="00C10180" w:rsidRPr="00C10180" w:rsidRDefault="00C10180" w:rsidP="00C10180">
      <w:pPr>
        <w:jc w:val="center"/>
        <w:rPr>
          <w:rFonts w:ascii="Times New Roman" w:hAnsi="Times New Roman" w:cs="Times New Roman"/>
          <w:b/>
          <w:bCs/>
        </w:rPr>
      </w:pPr>
      <w:r w:rsidRPr="00C10180">
        <w:rPr>
          <w:rFonts w:ascii="Times New Roman" w:hAnsi="Times New Roman" w:cs="Times New Roman"/>
          <w:b/>
          <w:bCs/>
        </w:rPr>
        <w:t>Avrupa Çipler Yasasına Yönelik Görüş Çağrısı Bilgi Notu</w:t>
      </w:r>
    </w:p>
    <w:p w14:paraId="11C32358" w14:textId="3717600D" w:rsidR="00C10180" w:rsidRPr="00C10180" w:rsidRDefault="00C10180" w:rsidP="00C10180">
      <w:p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>Avrupa Çipler Yasası’nın 21 Eylül 2023 tarihinden bu yana yürürlükte olduğu ve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 xml:space="preserve">yaklaşık 2 yıllık süreçte, 80 milyar </w:t>
      </w:r>
      <w:proofErr w:type="spellStart"/>
      <w:r w:rsidRPr="00C10180">
        <w:rPr>
          <w:rFonts w:ascii="Times New Roman" w:hAnsi="Times New Roman" w:cs="Times New Roman"/>
        </w:rPr>
        <w:t>Avro’dan</w:t>
      </w:r>
      <w:proofErr w:type="spellEnd"/>
      <w:r w:rsidRPr="00C10180">
        <w:rPr>
          <w:rFonts w:ascii="Times New Roman" w:hAnsi="Times New Roman" w:cs="Times New Roman"/>
        </w:rPr>
        <w:t xml:space="preserve"> fazla taahhüt edilmiş üretim kapasitesi yatırımı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temin edildiği; türünün ilk örneği yarı iletken tesislerine ilişkin 8 devlet yardımı kararının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onaylandığı; araştırma, geliştirme ve yenilikçilik (</w:t>
      </w:r>
      <w:r w:rsidRPr="00C10180">
        <w:rPr>
          <w:rFonts w:ascii="Times New Roman" w:hAnsi="Times New Roman" w:cs="Times New Roman"/>
          <w:i/>
          <w:iCs/>
        </w:rPr>
        <w:t>R&amp;D&amp;I</w:t>
      </w:r>
      <w:r w:rsidRPr="00C10180">
        <w:rPr>
          <w:rFonts w:ascii="Times New Roman" w:hAnsi="Times New Roman" w:cs="Times New Roman"/>
        </w:rPr>
        <w:t xml:space="preserve">) programının </w:t>
      </w:r>
      <w:proofErr w:type="gramStart"/>
      <w:r w:rsidRPr="00C10180">
        <w:rPr>
          <w:rFonts w:ascii="Times New Roman" w:hAnsi="Times New Roman" w:cs="Times New Roman"/>
        </w:rPr>
        <w:t>%80</w:t>
      </w:r>
      <w:proofErr w:type="gramEnd"/>
      <w:r w:rsidRPr="00C10180">
        <w:rPr>
          <w:rFonts w:ascii="Times New Roman" w:hAnsi="Times New Roman" w:cs="Times New Roman"/>
        </w:rPr>
        <w:t>’inden fazlasının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uygulandığı ve Avrupa Yarı İletken Kurulu tarafından desteklenen bir kriz müdahale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mekanizması kurulduğu malumlarıdır.</w:t>
      </w:r>
    </w:p>
    <w:p w14:paraId="4F6B5E1E" w14:textId="6FFA6A09" w:rsidR="00C10180" w:rsidRPr="00C10180" w:rsidRDefault="00C10180" w:rsidP="00C10180">
      <w:p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>Bu defa, Yasanın 2026 yılına kadar zorunlu bir gözden geçirme gerektirmesinden ve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Avrupa Parlamentosu’nun da Komisyon’u iddialı bir “Çipler Yasası 2.0” başlatmaya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çağırmasından hareketle Avrupa Komisyonu (Komisyon); 5 Eylül 2025 tarihinde geniş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kapsamlı bir istişare ve etki analizinin paralel şekilde yürütüleceği bir “Görüş Çağrısı”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başlatmış olup, 28 Kasım 2025 tarihinde görüş sunma süresi sona erecek olan bu girişime</w:t>
      </w:r>
      <w:r w:rsidRPr="00C10180"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yönelik ayrıntılı bilgi aşağıda sunulmaktadır:</w:t>
      </w:r>
    </w:p>
    <w:p w14:paraId="79391F2F" w14:textId="77777777" w:rsidR="00C10180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>Bu gözden geçirmenin; mevcut jeopolitik bağlamı ve Avrupa Birliği’nin (AB)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teknolojik egemenliğe sahip olma ihtiyacını, özellikle de güvenlik, savunma ve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otomotiv gibi stratejik sektörler için gerekli olan ileri düzey devre elemanları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(</w:t>
      </w:r>
      <w:proofErr w:type="spellStart"/>
      <w:r w:rsidRPr="00C10180">
        <w:rPr>
          <w:rFonts w:ascii="Times New Roman" w:hAnsi="Times New Roman" w:cs="Times New Roman"/>
          <w:i/>
          <w:iCs/>
        </w:rPr>
        <w:t>advanced</w:t>
      </w:r>
      <w:proofErr w:type="spellEnd"/>
      <w:r w:rsidRPr="00C1018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10180">
        <w:rPr>
          <w:rFonts w:ascii="Times New Roman" w:hAnsi="Times New Roman" w:cs="Times New Roman"/>
          <w:i/>
          <w:iCs/>
        </w:rPr>
        <w:t>nodes</w:t>
      </w:r>
      <w:proofErr w:type="spellEnd"/>
      <w:r w:rsidRPr="00C10180">
        <w:rPr>
          <w:rFonts w:ascii="Times New Roman" w:hAnsi="Times New Roman" w:cs="Times New Roman"/>
        </w:rPr>
        <w:t>) üretimi dikkate alması gerektiği,</w:t>
      </w:r>
    </w:p>
    <w:p w14:paraId="01A82420" w14:textId="77777777" w:rsidR="00C10180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>Avrupa Rekabetçilik Fonu da dahil olmak üzere; bir sonraki Çok Yıllı Mali Çerçeve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kapsamında dijital liderlik politikasını destekleyecek olası faaliyetlerin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belirlenmesine yardımcı olabileceği,</w:t>
      </w:r>
      <w:r>
        <w:rPr>
          <w:rFonts w:ascii="Times New Roman" w:hAnsi="Times New Roman" w:cs="Times New Roman"/>
        </w:rPr>
        <w:t xml:space="preserve"> </w:t>
      </w:r>
    </w:p>
    <w:p w14:paraId="30F6DEB4" w14:textId="77777777" w:rsidR="00C10180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 xml:space="preserve">Üye ülkelerin “Yarı İletken </w:t>
      </w:r>
      <w:proofErr w:type="spellStart"/>
      <w:r w:rsidRPr="00C10180">
        <w:rPr>
          <w:rFonts w:ascii="Times New Roman" w:hAnsi="Times New Roman" w:cs="Times New Roman"/>
        </w:rPr>
        <w:t>Koalisyonu”nun</w:t>
      </w:r>
      <w:proofErr w:type="spellEnd"/>
      <w:r w:rsidRPr="00C10180">
        <w:rPr>
          <w:rFonts w:ascii="Times New Roman" w:hAnsi="Times New Roman" w:cs="Times New Roman"/>
        </w:rPr>
        <w:t>, iş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birliklerini güçlendirme ve AB’nin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yarı iletken sektöründeki rekabet gücü ile stratejik özerkliğini artırma çağrısına yanıt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olacağı,</w:t>
      </w:r>
    </w:p>
    <w:p w14:paraId="6833A7CE" w14:textId="4F507ECA" w:rsidR="00C10180" w:rsidRPr="00C10180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0180">
        <w:rPr>
          <w:rFonts w:ascii="Times New Roman" w:hAnsi="Times New Roman" w:cs="Times New Roman"/>
        </w:rPr>
        <w:t>Yasanın büyük ölçüde amacına uygun gözükmekle beraber; hedeflerini tam olarak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gerçekleştirmek için üç temel engelin aşılmasında yeterince etkili araçlardan yoksun</w:t>
      </w:r>
      <w:r>
        <w:rPr>
          <w:rFonts w:ascii="Times New Roman" w:hAnsi="Times New Roman" w:cs="Times New Roman"/>
        </w:rPr>
        <w:t xml:space="preserve"> </w:t>
      </w:r>
      <w:r w:rsidRPr="00C10180">
        <w:rPr>
          <w:rFonts w:ascii="Times New Roman" w:hAnsi="Times New Roman" w:cs="Times New Roman"/>
        </w:rPr>
        <w:t>olduğu,</w:t>
      </w:r>
    </w:p>
    <w:p w14:paraId="04C14F03" w14:textId="048055FF" w:rsidR="00C10180" w:rsidRPr="00C10180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C10180">
        <w:rPr>
          <w:rFonts w:ascii="Times New Roman" w:hAnsi="Times New Roman" w:cs="Times New Roman"/>
          <w:b/>
          <w:bCs/>
        </w:rPr>
        <w:t>10 nanometrenin altındaki ileri yarı iletken devre elemanları için üretim</w:t>
      </w:r>
      <w:r w:rsidRPr="00C10180">
        <w:rPr>
          <w:rFonts w:ascii="Times New Roman" w:hAnsi="Times New Roman" w:cs="Times New Roman"/>
          <w:b/>
          <w:bCs/>
        </w:rPr>
        <w:t xml:space="preserve"> </w:t>
      </w:r>
      <w:r w:rsidRPr="00C10180">
        <w:rPr>
          <w:rFonts w:ascii="Times New Roman" w:hAnsi="Times New Roman" w:cs="Times New Roman"/>
          <w:b/>
          <w:bCs/>
        </w:rPr>
        <w:t>kapasitesi:</w:t>
      </w:r>
    </w:p>
    <w:p w14:paraId="568BA042" w14:textId="458FD7F9" w:rsidR="00D93F70" w:rsidRPr="00D93F70" w:rsidRDefault="00C10180" w:rsidP="00D93F7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3F70">
        <w:rPr>
          <w:rFonts w:ascii="Times New Roman" w:hAnsi="Times New Roman" w:cs="Times New Roman"/>
        </w:rPr>
        <w:t>Söz</w:t>
      </w:r>
      <w:r w:rsidRP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konusu kapasitenin AB’de bulunmadığı ve AB’nin, önde gelen çiplerin</w:t>
      </w:r>
      <w:r w:rsidRP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tedariki için tamamen AB dışı ülkelere bağımlı olduğu,</w:t>
      </w:r>
    </w:p>
    <w:p w14:paraId="7F7F519E" w14:textId="77777777" w:rsidR="00D93F70" w:rsidRDefault="00C10180" w:rsidP="00C1018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3F70">
        <w:rPr>
          <w:rFonts w:ascii="Times New Roman" w:hAnsi="Times New Roman" w:cs="Times New Roman"/>
        </w:rPr>
        <w:t>AB’de bu çiplere yönelik talebin ise şu anda sınırlı olup, tipik bir ileri</w:t>
      </w:r>
      <w:r w:rsidRP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teknoloji tesisi için gereken büyük ölçekli yatırımı haklı çıkarmadığı,</w:t>
      </w:r>
    </w:p>
    <w:p w14:paraId="702E802B" w14:textId="77777777" w:rsidR="00D93F70" w:rsidRDefault="00C10180" w:rsidP="00C1018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3F70">
        <w:rPr>
          <w:rFonts w:ascii="Times New Roman" w:hAnsi="Times New Roman" w:cs="Times New Roman"/>
        </w:rPr>
        <w:t>Bununla birlikte bu devre elemanlarındaki çiplerin; savunma, güvenlik,</w:t>
      </w:r>
      <w:r w:rsid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otomotiv, uzay ve yüksek performanslı bilgi işlem gibi stratejik sektörler için</w:t>
      </w:r>
      <w:r w:rsid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temel olduğu,</w:t>
      </w:r>
    </w:p>
    <w:p w14:paraId="40C2023E" w14:textId="77777777" w:rsidR="00D93F70" w:rsidRDefault="00C10180" w:rsidP="00C1018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3F70">
        <w:rPr>
          <w:rFonts w:ascii="Times New Roman" w:hAnsi="Times New Roman" w:cs="Times New Roman"/>
        </w:rPr>
        <w:t>Ancak bu sektörlerin ihtiyaç duyduğu hacmin nispeten düşük olduğu ve tam</w:t>
      </w:r>
      <w:r w:rsid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teşekküllü ticari bir tesisi uygulanabilir kılmayabileceği,</w:t>
      </w:r>
      <w:r w:rsidR="00D93F70">
        <w:rPr>
          <w:rFonts w:ascii="Times New Roman" w:hAnsi="Times New Roman" w:cs="Times New Roman"/>
        </w:rPr>
        <w:t xml:space="preserve"> </w:t>
      </w:r>
    </w:p>
    <w:p w14:paraId="168F61BB" w14:textId="7D83DD7B" w:rsidR="00C10180" w:rsidRDefault="00C10180" w:rsidP="00C10180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D93F70">
        <w:rPr>
          <w:rFonts w:ascii="Times New Roman" w:hAnsi="Times New Roman" w:cs="Times New Roman"/>
        </w:rPr>
        <w:t>Buna karşın bu çiplerin stratejik önemi bağlamında AB’nin, bahse</w:t>
      </w:r>
      <w:r w:rsid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konu</w:t>
      </w:r>
      <w:r w:rsidR="00D93F70">
        <w:rPr>
          <w:rFonts w:ascii="Times New Roman" w:hAnsi="Times New Roman" w:cs="Times New Roman"/>
        </w:rPr>
        <w:t xml:space="preserve"> </w:t>
      </w:r>
      <w:r w:rsidRPr="00D93F70">
        <w:rPr>
          <w:rFonts w:ascii="Times New Roman" w:hAnsi="Times New Roman" w:cs="Times New Roman"/>
        </w:rPr>
        <w:t>çiplere erişimini güvence altına alması gerektiği,</w:t>
      </w:r>
    </w:p>
    <w:p w14:paraId="14B2C2F2" w14:textId="77777777" w:rsidR="00D93F70" w:rsidRPr="00D93F70" w:rsidRDefault="00D93F70" w:rsidP="00D93F70">
      <w:pPr>
        <w:jc w:val="both"/>
        <w:rPr>
          <w:rFonts w:ascii="Times New Roman" w:hAnsi="Times New Roman" w:cs="Times New Roman"/>
        </w:rPr>
      </w:pPr>
    </w:p>
    <w:p w14:paraId="74DE6831" w14:textId="07DBCD8F" w:rsidR="00C10180" w:rsidRPr="00D93F70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93F70">
        <w:rPr>
          <w:rFonts w:ascii="Times New Roman" w:hAnsi="Times New Roman" w:cs="Times New Roman"/>
          <w:b/>
          <w:bCs/>
        </w:rPr>
        <w:t>Ana akım/temel düzeydeki yarı iletkenlerde sahip olunan rekabet</w:t>
      </w:r>
      <w:r w:rsidR="00D93F70">
        <w:rPr>
          <w:rFonts w:ascii="Times New Roman" w:hAnsi="Times New Roman" w:cs="Times New Roman"/>
          <w:b/>
          <w:bCs/>
        </w:rPr>
        <w:t xml:space="preserve"> </w:t>
      </w:r>
      <w:r w:rsidRPr="00D93F70">
        <w:rPr>
          <w:rFonts w:ascii="Times New Roman" w:hAnsi="Times New Roman" w:cs="Times New Roman"/>
          <w:b/>
          <w:bCs/>
        </w:rPr>
        <w:t>avantajının tehdit altında oluşu:</w:t>
      </w:r>
    </w:p>
    <w:p w14:paraId="7EAD5929" w14:textId="5B427573" w:rsidR="00B67BA9" w:rsidRPr="00B67BA9" w:rsidRDefault="00C10180" w:rsidP="00B67BA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Avrupa’nın, ana akım/temel düzeydeki yarı iletkenlerde (güç elektroniği,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mikrodenetleyiciler, fotonik, sensörler) rekabet avantajına sahip olduğu,</w:t>
      </w:r>
    </w:p>
    <w:p w14:paraId="5D94957A" w14:textId="77777777" w:rsidR="00B67BA9" w:rsidRDefault="00C10180" w:rsidP="00C1018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Ancak bu rekabet avantajının, üçüncü ülkelerdeki potansiyel piyasa dışı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politikalar ve uygulamalardan dolayı giderek daha fazla tehdit altında kaldığı,</w:t>
      </w:r>
    </w:p>
    <w:p w14:paraId="4A5A8C3C" w14:textId="489D8217" w:rsidR="00C10180" w:rsidRPr="00B67BA9" w:rsidRDefault="00C10180" w:rsidP="00C10180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Dolayısıyla bu alanda sürekli yenilikçiliğin, özellikle de bu bileşenlerin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güvenliğini ve enerji verimliliğini artırmak için teşvik edilmesi gerektiği,</w:t>
      </w:r>
    </w:p>
    <w:p w14:paraId="0EC2B9C9" w14:textId="43287057" w:rsidR="00C10180" w:rsidRPr="00D93F70" w:rsidRDefault="00C10180" w:rsidP="00D93F7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D93F70">
        <w:rPr>
          <w:rFonts w:ascii="Times New Roman" w:hAnsi="Times New Roman" w:cs="Times New Roman"/>
          <w:b/>
          <w:bCs/>
        </w:rPr>
        <w:t>Yarı iletken ekosisteminin dayanıklılığı hakkındaki bilginin sınırlı oluşu:</w:t>
      </w:r>
    </w:p>
    <w:p w14:paraId="1FFF9ACC" w14:textId="2BE23A36" w:rsidR="00B67BA9" w:rsidRPr="00B67BA9" w:rsidRDefault="00C10180" w:rsidP="00B67BA9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AB’deki ve üye ülkelerdeki kilit piyasa aktörlerinin, tedarik zincirlerinin ve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genel yarı iletken ekosisteminin dayanıklılığına dair mevcut bilginin sınırlı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olduğu,</w:t>
      </w:r>
    </w:p>
    <w:p w14:paraId="4DC10229" w14:textId="77777777" w:rsidR="00B67BA9" w:rsidRDefault="00C10180" w:rsidP="00C1018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AB ve üye ülkelerin; tedarik zincirlerinin ve ekosistemin dayanıklılığını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tedarik güvenliğini temin edecek ve aksaklıkları ve krizleri ele alacak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düzeyde bir yeterlilikte anlamadığı,</w:t>
      </w:r>
    </w:p>
    <w:p w14:paraId="7FC831A2" w14:textId="2DAFD667" w:rsidR="00C10180" w:rsidRPr="00B67BA9" w:rsidRDefault="00C10180" w:rsidP="00C10180">
      <w:pPr>
        <w:pStyle w:val="ListeParagraf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Ekonomik güvenlik açısından, kilit piyasa aktörlerinin (örneğin teknoloji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sızıntısı risklerine karşı) hassasiyetine dair mevcut bilginin yetersiz olduğu,</w:t>
      </w:r>
    </w:p>
    <w:p w14:paraId="3E25097D" w14:textId="5BBEA21A" w:rsidR="00C10180" w:rsidRPr="00B67BA9" w:rsidRDefault="00C10180" w:rsidP="00B67BA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Yasada hedeflenen değişiklikler ile;</w:t>
      </w:r>
    </w:p>
    <w:p w14:paraId="21E7673E" w14:textId="77777777" w:rsidR="00B67BA9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Hem ileri teknoloji çiplerin hem de Avrupa’nın üçüncü ülkelere aşırı bağımlı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olduğu eski nesil çiplerin tasarım ve üretim kapasitesinin stratejik niteliğinin öne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çıkarılacağı ve bu politikayı uygulamak için stratejik projeler ile bunların seçim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kriterlerinin tanımlanmasının öngörüldüğü,</w:t>
      </w:r>
    </w:p>
    <w:p w14:paraId="4F458CC4" w14:textId="77777777" w:rsidR="00B67BA9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Yasada şu anda öngörülen devlet yardımı imkanlarına ek olarak gelecekte ilave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finansman programlarının da kullanılabileceği ve bunun kritik sektörler için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küçük ölçekli üretimden, ileri yüksek hacimli fabrikalara kadar uzanabileceği,</w:t>
      </w:r>
    </w:p>
    <w:p w14:paraId="0F2D4EE6" w14:textId="77777777" w:rsidR="00B67BA9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Önde gelen çiplere erişimde AB dışı ülkelere bağımlılığın, farklı derecelerde ve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kritik sektörler veya ekonominin daha büyük kısımları için azaltılabileceği,</w:t>
      </w:r>
    </w:p>
    <w:p w14:paraId="2AF5C97B" w14:textId="5128395C" w:rsidR="00C10180" w:rsidRPr="00B67BA9" w:rsidRDefault="00C10180" w:rsidP="00C1018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İzleme ve ekonomik güvenlik bakımından, AB ve üye ülkelerin sahip oldukları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veri toplama araçlarının güçlendirileceği,</w:t>
      </w:r>
    </w:p>
    <w:p w14:paraId="323F3399" w14:textId="55FA2390" w:rsidR="00C10180" w:rsidRPr="00B67BA9" w:rsidRDefault="00C10180" w:rsidP="00B67BA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Hedeflenen değişikliklerin muhtemel etkileri bağlamında ise;</w:t>
      </w:r>
    </w:p>
    <w:p w14:paraId="6A4F930F" w14:textId="4DEF9140" w:rsidR="00C10180" w:rsidRPr="00B67BA9" w:rsidRDefault="00C10180" w:rsidP="00B67BA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  <w:b/>
          <w:bCs/>
        </w:rPr>
        <w:t>Ekonomik açıdan</w:t>
      </w:r>
      <w:r w:rsidRPr="00B67BA9">
        <w:rPr>
          <w:rFonts w:ascii="Times New Roman" w:hAnsi="Times New Roman" w:cs="Times New Roman"/>
        </w:rPr>
        <w:t>,</w:t>
      </w:r>
    </w:p>
    <w:p w14:paraId="0F4A75B3" w14:textId="36920E06" w:rsidR="00B67BA9" w:rsidRPr="00B67BA9" w:rsidRDefault="00C10180" w:rsidP="00B67BA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Muhtemelen olumlu bir etkisi olacağı zira AB’de sağlam bir üretim üssünün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geliştirilmesini destekleyeceği,</w:t>
      </w:r>
    </w:p>
    <w:p w14:paraId="72E64F5C" w14:textId="5719AE8F" w:rsidR="00C10180" w:rsidRPr="00B67BA9" w:rsidRDefault="00C10180" w:rsidP="00B67BA9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AB’nin ekonomik dayanıklılığını artırması, yenilikçiliği teşvik etmesi ve yarı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iletken ekosistemine yatırım çekmesinin beklendiği ve böylelikle sektörün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küresel rekabet gücünün artacağı,</w:t>
      </w:r>
    </w:p>
    <w:p w14:paraId="087F82D9" w14:textId="7B5F1B6C" w:rsidR="00C10180" w:rsidRPr="00B67BA9" w:rsidRDefault="00C10180" w:rsidP="00B67BA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  <w:b/>
          <w:bCs/>
        </w:rPr>
        <w:t>Sosyal açıdan</w:t>
      </w:r>
      <w:r w:rsidRPr="00B67BA9">
        <w:rPr>
          <w:rFonts w:ascii="Times New Roman" w:hAnsi="Times New Roman" w:cs="Times New Roman"/>
        </w:rPr>
        <w:t>,</w:t>
      </w:r>
    </w:p>
    <w:p w14:paraId="2D9235EA" w14:textId="5D2B1D02" w:rsidR="00B67BA9" w:rsidRPr="00B67BA9" w:rsidRDefault="00C10180" w:rsidP="00B67BA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İstihdam oluşturulması, ekonomik büyüme ve kritik dijital teknolojilere daha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iyi erişime katkıda bulunacağı,</w:t>
      </w:r>
    </w:p>
    <w:p w14:paraId="1CB1DED8" w14:textId="553CA5D4" w:rsidR="00B67BA9" w:rsidRDefault="00C10180" w:rsidP="00B67BA9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Böylelikle AB’nin egemenliğini ve toplumsal dayanıklılığını güçlendireceği,</w:t>
      </w:r>
    </w:p>
    <w:p w14:paraId="68EF0317" w14:textId="77777777" w:rsidR="00B67BA9" w:rsidRPr="00B67BA9" w:rsidRDefault="00B67BA9" w:rsidP="00B67BA9">
      <w:pPr>
        <w:pStyle w:val="ListeParagraf"/>
        <w:ind w:left="1428"/>
        <w:jc w:val="both"/>
        <w:rPr>
          <w:rFonts w:ascii="Times New Roman" w:hAnsi="Times New Roman" w:cs="Times New Roman"/>
        </w:rPr>
      </w:pPr>
    </w:p>
    <w:p w14:paraId="6C4BE16D" w14:textId="7E8A916D" w:rsidR="00C10180" w:rsidRPr="00B67BA9" w:rsidRDefault="00C10180" w:rsidP="00B67BA9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  <w:b/>
          <w:bCs/>
        </w:rPr>
        <w:lastRenderedPageBreak/>
        <w:t>Çevresel açıdan</w:t>
      </w:r>
      <w:r w:rsidRPr="00B67BA9">
        <w:rPr>
          <w:rFonts w:ascii="Times New Roman" w:hAnsi="Times New Roman" w:cs="Times New Roman"/>
        </w:rPr>
        <w:t>,</w:t>
      </w:r>
    </w:p>
    <w:p w14:paraId="46D7F4C6" w14:textId="65D61FCD" w:rsidR="00B67BA9" w:rsidRPr="00B67BA9" w:rsidRDefault="00C10180" w:rsidP="00B67BA9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Malzeme kullanımını azaltan, enerji verimliliğini artıran ve daha büyük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döngüselliği mümkün kılan sürdürülebilir üretim tesislerinin geliştirilmesini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destekleyeceği,</w:t>
      </w:r>
    </w:p>
    <w:p w14:paraId="12A088C4" w14:textId="1CC18354" w:rsidR="00C10180" w:rsidRPr="00B67BA9" w:rsidRDefault="00C10180" w:rsidP="00B67BA9">
      <w:pPr>
        <w:pStyle w:val="ListeParagraf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Böylelikle yarı iletkenlerin, daha sürdürülebilir bir dijital geleceğin kilit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kolaylaştırıcıları olarak konumlanacağı,</w:t>
      </w:r>
    </w:p>
    <w:p w14:paraId="5F6F8A2E" w14:textId="77777777" w:rsid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İstişarenin, kamuya açık bir istişare ve değer zincirinin farklı kısımlarındaki ilgili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sanayi aktörleri ve kilit paydaşlarla hedeflenmiş istişareleri içereceği,</w:t>
      </w:r>
    </w:p>
    <w:p w14:paraId="37A991FE" w14:textId="7BED735C" w:rsidR="00C10180" w:rsidRP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Kamuya açık istişarenin,</w:t>
      </w:r>
    </w:p>
    <w:p w14:paraId="5FC73177" w14:textId="77777777" w:rsidR="00B67BA9" w:rsidRDefault="00C10180" w:rsidP="00C10180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Mevcut Yasaya ilişkin paydaşlardan geri bildirim talep edeceği;</w:t>
      </w:r>
    </w:p>
    <w:p w14:paraId="2643D5F1" w14:textId="77777777" w:rsidR="00B67BA9" w:rsidRDefault="00C10180" w:rsidP="00C10180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Yasanın değişen piyasa, teknolojik ve jeopolitik gerçekliklere yanıt verecek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şekilde nasıl uyarlanabileceği (ve olası sadeleştirmeler) konusunda geri bildirim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isteyeceği,</w:t>
      </w:r>
    </w:p>
    <w:p w14:paraId="0718F71D" w14:textId="114F3228" w:rsidR="00C10180" w:rsidRPr="00B67BA9" w:rsidRDefault="00C10180" w:rsidP="00C10180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Dolayısıyla, geriye ve ileriye dönük soruların dengeli bir karışımını içereceği,</w:t>
      </w:r>
    </w:p>
    <w:p w14:paraId="1532034E" w14:textId="77777777" w:rsidR="00B67BA9" w:rsidRP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İstişare sürecinin sonunda gerçeklere dayalı bir özet rapor ve bir sentez raporu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hazırlanacağı,</w:t>
      </w:r>
    </w:p>
    <w:p w14:paraId="36C50AD4" w14:textId="77777777" w:rsidR="00B67BA9" w:rsidRP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Gerçeklere dayalı özet raporun, istişare kapandıktan sekiz hafta sonra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yayımlanacağı,</w:t>
      </w:r>
    </w:p>
    <w:p w14:paraId="7C30C23F" w14:textId="77777777" w:rsidR="00B67BA9" w:rsidRP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Sentez raporunun ise etki değerlendirmesine ekleneceği,</w:t>
      </w:r>
    </w:p>
    <w:p w14:paraId="4B896F8F" w14:textId="3C860313" w:rsidR="00C10180" w:rsidRPr="00B67BA9" w:rsidRDefault="00C10180" w:rsidP="00C10180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İstişarenin hedef kitlesine yönelik olarak;</w:t>
      </w:r>
    </w:p>
    <w:p w14:paraId="04AF41F7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Ulusal yetkili makamlar (yarı iletkenle ilgili makamlar dahil)</w:t>
      </w:r>
    </w:p>
    <w:p w14:paraId="1DF42FEC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Çipler Ortak Girişimi, Avrupa Yenilikçilik Konseyi ve Küçük ve Orta Ölçekli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İşletmeler (KOBİ’ler) Yürütme Ajansı (EISMEA), Avrupa Yatırım Bankası ve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Avrupa Yatırım Fonu dahil olmak üzere Yasanın kilit yönlerini uygulamaktan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sorumlu AB organları</w:t>
      </w:r>
    </w:p>
    <w:p w14:paraId="34DBAD0A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Yarı iletken üreticileri (entegre cihaz üreticileri dahil), fabrikasız firmalar,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tasarım evleri, ekipman üreticileri ve yarı iletken değer zinciri boyunca diğer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ilgili aktörler</w:t>
      </w:r>
    </w:p>
    <w:p w14:paraId="39F74884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Çip kullanıcısı konumundaki otomotiv, telekomünikasyon, sağlık, enerji,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savunma ve güvenlik gibi kritik sektörlerde yarı iletkenlere istikrarlı bir şekilde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 xml:space="preserve">erişim sağlaması gereken </w:t>
      </w:r>
      <w:proofErr w:type="spellStart"/>
      <w:r w:rsidRPr="00B67BA9">
        <w:rPr>
          <w:rFonts w:ascii="Times New Roman" w:hAnsi="Times New Roman" w:cs="Times New Roman"/>
        </w:rPr>
        <w:t>firmalar</w:t>
      </w:r>
      <w:proofErr w:type="spellEnd"/>
    </w:p>
    <w:p w14:paraId="21F378DC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Start-</w:t>
      </w:r>
      <w:proofErr w:type="spellStart"/>
      <w:r w:rsidRPr="00B67BA9">
        <w:rPr>
          <w:rFonts w:ascii="Times New Roman" w:hAnsi="Times New Roman" w:cs="Times New Roman"/>
        </w:rPr>
        <w:t>up’lar</w:t>
      </w:r>
      <w:proofErr w:type="spellEnd"/>
      <w:r w:rsidRPr="00B67BA9">
        <w:rPr>
          <w:rFonts w:ascii="Times New Roman" w:hAnsi="Times New Roman" w:cs="Times New Roman"/>
        </w:rPr>
        <w:t xml:space="preserve"> ve KOBİ’ler – yarı iletken değer zincirinde faaliyet gösteren yeni</w:t>
      </w:r>
      <w:r w:rsidR="00D93F70" w:rsidRP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kurulan ve büyüyen şirketler</w:t>
      </w:r>
    </w:p>
    <w:p w14:paraId="720A93E1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Araştırma ve teknoloji kuruluşları ve akademi</w:t>
      </w:r>
    </w:p>
    <w:p w14:paraId="4D722892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Ticaret birlikleri</w:t>
      </w:r>
    </w:p>
    <w:p w14:paraId="6EE73420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Sanayi birlikleri</w:t>
      </w:r>
    </w:p>
    <w:p w14:paraId="737DAC52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Girişim sermayesi şirketleri ve özel sermaye şirketleri</w:t>
      </w:r>
    </w:p>
    <w:p w14:paraId="5469DB11" w14:textId="77777777" w:rsid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Yarı iletken sektörüne ilgi duyan düşünce kuruluşları gibi ilgili sivil toplum</w:t>
      </w:r>
      <w:r w:rsidR="00B67BA9">
        <w:rPr>
          <w:rFonts w:ascii="Times New Roman" w:hAnsi="Times New Roman" w:cs="Times New Roman"/>
        </w:rPr>
        <w:t xml:space="preserve"> </w:t>
      </w:r>
      <w:r w:rsidRPr="00B67BA9">
        <w:rPr>
          <w:rFonts w:ascii="Times New Roman" w:hAnsi="Times New Roman" w:cs="Times New Roman"/>
        </w:rPr>
        <w:t>kuruluşları veya kâr amacı gütmeyen kuruluşlar;</w:t>
      </w:r>
    </w:p>
    <w:p w14:paraId="76AB4A0B" w14:textId="47604CA9" w:rsidR="00C10180" w:rsidRPr="00B67BA9" w:rsidRDefault="00C10180" w:rsidP="00C10180">
      <w:pPr>
        <w:pStyle w:val="ListeParagraf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67BA9">
        <w:rPr>
          <w:rFonts w:ascii="Times New Roman" w:hAnsi="Times New Roman" w:cs="Times New Roman"/>
        </w:rPr>
        <w:t>Yarı iletken sanayisinde derin uzmanlığa sahip profesyoneller ve danışmanlar</w:t>
      </w:r>
    </w:p>
    <w:p w14:paraId="682ABA67" w14:textId="244471DF" w:rsidR="00C10180" w:rsidRPr="00C10180" w:rsidRDefault="00C10180" w:rsidP="00C10180">
      <w:pPr>
        <w:jc w:val="both"/>
        <w:rPr>
          <w:rFonts w:ascii="Times New Roman" w:hAnsi="Times New Roman" w:cs="Times New Roman"/>
        </w:rPr>
      </w:pPr>
      <w:proofErr w:type="gramStart"/>
      <w:r w:rsidRPr="00C10180">
        <w:rPr>
          <w:rFonts w:ascii="Times New Roman" w:hAnsi="Times New Roman" w:cs="Times New Roman"/>
        </w:rPr>
        <w:t>belirtilmektedir</w:t>
      </w:r>
      <w:proofErr w:type="gramEnd"/>
      <w:r w:rsidRPr="00C10180">
        <w:rPr>
          <w:rFonts w:ascii="Times New Roman" w:hAnsi="Times New Roman" w:cs="Times New Roman"/>
        </w:rPr>
        <w:t>.</w:t>
      </w:r>
    </w:p>
    <w:sectPr w:rsidR="00C10180" w:rsidRPr="00C10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8689" w14:textId="77777777" w:rsidR="00344DF9" w:rsidRDefault="00344DF9" w:rsidP="00C10180">
      <w:pPr>
        <w:spacing w:after="0" w:line="240" w:lineRule="auto"/>
      </w:pPr>
      <w:r>
        <w:separator/>
      </w:r>
    </w:p>
  </w:endnote>
  <w:endnote w:type="continuationSeparator" w:id="0">
    <w:p w14:paraId="5EB13FAB" w14:textId="77777777" w:rsidR="00344DF9" w:rsidRDefault="00344DF9" w:rsidP="00C1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CACC6" w14:textId="77777777" w:rsidR="00344DF9" w:rsidRDefault="00344DF9" w:rsidP="00C10180">
      <w:pPr>
        <w:spacing w:after="0" w:line="240" w:lineRule="auto"/>
      </w:pPr>
      <w:r>
        <w:separator/>
      </w:r>
    </w:p>
  </w:footnote>
  <w:footnote w:type="continuationSeparator" w:id="0">
    <w:p w14:paraId="0FBF3C2C" w14:textId="77777777" w:rsidR="00344DF9" w:rsidRDefault="00344DF9" w:rsidP="00C10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C0E2" w14:textId="36ECEAE3" w:rsidR="00D93F70" w:rsidRDefault="00D93F70">
    <w:pPr>
      <w:pStyle w:val="stBilgi"/>
    </w:pPr>
    <w:r>
      <w:t>T.C. TİCARET BAKANLIĞI</w:t>
    </w:r>
  </w:p>
  <w:p w14:paraId="0BBF85B5" w14:textId="3545FDA4" w:rsidR="00D93F70" w:rsidRDefault="00D93F70">
    <w:pPr>
      <w:pStyle w:val="stBilgi"/>
    </w:pPr>
    <w:r>
      <w:t>Uluslararası Anlaşmalar ve AB Genel Müdürlüğü</w:t>
    </w:r>
  </w:p>
  <w:p w14:paraId="52352921" w14:textId="77777777" w:rsidR="00D93F70" w:rsidRDefault="00D93F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2F5"/>
    <w:multiLevelType w:val="hybridMultilevel"/>
    <w:tmpl w:val="F2CE7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4B7"/>
    <w:multiLevelType w:val="hybridMultilevel"/>
    <w:tmpl w:val="37041754"/>
    <w:lvl w:ilvl="0" w:tplc="C776A83A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AA1CEA"/>
    <w:multiLevelType w:val="hybridMultilevel"/>
    <w:tmpl w:val="5610F470"/>
    <w:lvl w:ilvl="0" w:tplc="49327552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C34D5"/>
    <w:multiLevelType w:val="hybridMultilevel"/>
    <w:tmpl w:val="4CF81C14"/>
    <w:lvl w:ilvl="0" w:tplc="B8E48E8E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704055"/>
    <w:multiLevelType w:val="hybridMultilevel"/>
    <w:tmpl w:val="B90A339C"/>
    <w:lvl w:ilvl="0" w:tplc="F2984B1A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57245B"/>
    <w:multiLevelType w:val="hybridMultilevel"/>
    <w:tmpl w:val="A9F0D470"/>
    <w:lvl w:ilvl="0" w:tplc="CB2026F4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8042E"/>
    <w:multiLevelType w:val="hybridMultilevel"/>
    <w:tmpl w:val="1A5826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A734E"/>
    <w:multiLevelType w:val="hybridMultilevel"/>
    <w:tmpl w:val="41BEA93C"/>
    <w:lvl w:ilvl="0" w:tplc="CF5CB6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51C8A"/>
    <w:multiLevelType w:val="hybridMultilevel"/>
    <w:tmpl w:val="E000195E"/>
    <w:lvl w:ilvl="0" w:tplc="940C1688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1C1320"/>
    <w:multiLevelType w:val="hybridMultilevel"/>
    <w:tmpl w:val="D82A7C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5569"/>
    <w:multiLevelType w:val="hybridMultilevel"/>
    <w:tmpl w:val="422880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6378E"/>
    <w:multiLevelType w:val="hybridMultilevel"/>
    <w:tmpl w:val="E7B008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11167">
    <w:abstractNumId w:val="7"/>
  </w:num>
  <w:num w:numId="2" w16cid:durableId="388042918">
    <w:abstractNumId w:val="10"/>
  </w:num>
  <w:num w:numId="3" w16cid:durableId="1346638377">
    <w:abstractNumId w:val="5"/>
  </w:num>
  <w:num w:numId="4" w16cid:durableId="295451110">
    <w:abstractNumId w:val="4"/>
  </w:num>
  <w:num w:numId="5" w16cid:durableId="1156528757">
    <w:abstractNumId w:val="8"/>
  </w:num>
  <w:num w:numId="6" w16cid:durableId="1383793236">
    <w:abstractNumId w:val="11"/>
  </w:num>
  <w:num w:numId="7" w16cid:durableId="692338465">
    <w:abstractNumId w:val="0"/>
  </w:num>
  <w:num w:numId="8" w16cid:durableId="1556892939">
    <w:abstractNumId w:val="1"/>
  </w:num>
  <w:num w:numId="9" w16cid:durableId="1435858126">
    <w:abstractNumId w:val="3"/>
  </w:num>
  <w:num w:numId="10" w16cid:durableId="1709791261">
    <w:abstractNumId w:val="2"/>
  </w:num>
  <w:num w:numId="11" w16cid:durableId="1259947741">
    <w:abstractNumId w:val="9"/>
  </w:num>
  <w:num w:numId="12" w16cid:durableId="844781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CC7"/>
    <w:rsid w:val="001E3A6C"/>
    <w:rsid w:val="00344DF9"/>
    <w:rsid w:val="003A03B9"/>
    <w:rsid w:val="00622FF7"/>
    <w:rsid w:val="00627583"/>
    <w:rsid w:val="00B67BA9"/>
    <w:rsid w:val="00C10180"/>
    <w:rsid w:val="00D93F70"/>
    <w:rsid w:val="00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795C"/>
  <w15:chartTrackingRefBased/>
  <w15:docId w15:val="{DC96ED64-432F-4D4F-803D-7EFB0445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4CC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4CC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4CC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4CC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4CC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4CC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4CC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4CC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4CC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4CC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4CC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D93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F70"/>
  </w:style>
  <w:style w:type="paragraph" w:styleId="AltBilgi">
    <w:name w:val="footer"/>
    <w:basedOn w:val="Normal"/>
    <w:link w:val="AltBilgiChar"/>
    <w:uiPriority w:val="99"/>
    <w:unhideWhenUsed/>
    <w:rsid w:val="00D93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 Selek</dc:creator>
  <cp:keywords/>
  <dc:description/>
  <cp:lastModifiedBy>Esma Selek</cp:lastModifiedBy>
  <cp:revision>4</cp:revision>
  <dcterms:created xsi:type="dcterms:W3CDTF">2025-09-18T08:00:00Z</dcterms:created>
  <dcterms:modified xsi:type="dcterms:W3CDTF">2025-09-18T08:10:00Z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user=24889603954</vt:lpwstr>
  </property>
  <property fmtid="{D5CDD505-2E9C-101B-9397-08002B2CF9AE}" pid="4" name="geodilabeltime">
    <vt:lpwstr>datetime=2025-09-18T08:03:02.036Z</vt:lpwstr>
  </property>
</Properties>
</file>